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May 22-24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025"/>
        <w:tblGridChange w:id="0">
          <w:tblGrid>
            <w:gridCol w:w="415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May 22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Intervals, tonic, dominant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Games: long tone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choral page 40 #4: circle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5 m. Dvorak: first 5 m. Dvorak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solo first time: Hannah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Solo second time: Gabe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 through all Dvorak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Beethovan #116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TODAY: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14: turn in books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TALLY SHEETS DUE (signed)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May 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concert scale. Page 40 #1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your parts for our two pieces: Beethoven and Dvorak.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10 in TE book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40 in TE book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rhythms and note identification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 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 notes AND fingering drills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May 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Bb choral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rehearse each piece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 WILL PRACTICE OUR PROGRAM THIS AFTERNOON.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CONCERT DRESS IS BLACK ON BOTTOM, SOLID COLOR SHIRT ON TOP. Matching ties/scarves/jewelry fine.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6:30 Zeeland Community Church.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Instruments, music, energy!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May 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May 26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Enjoy your Memorial Day weekend and Vacation week!!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and fingering drills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Brass positions and fingerings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https://www.8notes.com/school/theory/brass_trainer.asp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Click on “set instrument” to choose trumpet or trombone, click “set instrument” again to begin drill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://www.musictechteacher.com/music_quizzes/music_quizzes.htm" TargetMode="External"/><Relationship Id="rId7" Type="http://schemas.openxmlformats.org/officeDocument/2006/relationships/hyperlink" Target="http://musicracer.com/" TargetMode="External"/><Relationship Id="rId8" Type="http://schemas.openxmlformats.org/officeDocument/2006/relationships/hyperlink" Target="https://www.8notes.com/school/theory/brass_trainer.asp" TargetMode="External"/></Relationships>
</file>