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April 24-29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April 24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long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#25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play through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Grieg: play through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Beethovan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“Project 3” note words on staff paper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April 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your parts for our three pieces: Grieg, Dvorak and Beethoven. Notes, rhythms, dynamics.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will decide next week which two to play based on how well we progress this week.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rhythms and note identification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 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 notes AND fingering drills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April 26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#26 in TE book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solo playing tryouts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through each piece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and fingering tests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have a test on notes and fingerings of our three pieces today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April 27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April 28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April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/Relationships>
</file>